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324B1A" w:rsidRPr="00324B1A" w:rsidTr="00324B1A">
        <w:tc>
          <w:tcPr>
            <w:tcW w:w="5481" w:type="dxa"/>
            <w:hideMark/>
          </w:tcPr>
          <w:p w:rsidR="00324B1A" w:rsidRPr="00324B1A" w:rsidRDefault="00324B1A">
            <w:pPr>
              <w:spacing w:after="0" w:line="216" w:lineRule="auto"/>
              <w:ind w:right="216"/>
              <w:jc w:val="center"/>
              <w:rPr>
                <w:rFonts w:eastAsia="Batang" w:cs="Times New Roman"/>
                <w:b/>
                <w:sz w:val="24"/>
                <w:szCs w:val="24"/>
                <w:lang w:eastAsia="ko-KR"/>
              </w:rPr>
            </w:pPr>
            <w:bookmarkStart w:id="0" w:name="_GoBack"/>
            <w:r w:rsidRPr="00324B1A">
              <w:rPr>
                <w:rFonts w:cs="Times New Roman"/>
                <w:b/>
                <w:sz w:val="24"/>
                <w:szCs w:val="24"/>
              </w:rPr>
              <w:t>TRƯỜNG THCS ĐỨC GIANG</w:t>
            </w:r>
          </w:p>
          <w:p w:rsidR="00324B1A" w:rsidRPr="00324B1A" w:rsidRDefault="00324B1A">
            <w:pPr>
              <w:spacing w:after="0" w:line="216" w:lineRule="auto"/>
              <w:ind w:right="216"/>
              <w:jc w:val="center"/>
              <w:rPr>
                <w:rFonts w:cs="Times New Roman"/>
                <w:sz w:val="24"/>
                <w:szCs w:val="24"/>
              </w:rPr>
            </w:pPr>
            <w:r w:rsidRPr="00324B1A">
              <w:rPr>
                <w:rFonts w:cs="Times New Roman"/>
                <w:sz w:val="24"/>
                <w:szCs w:val="24"/>
              </w:rPr>
              <w:t>Năm học: 202</w:t>
            </w:r>
            <w:r w:rsidRPr="00324B1A">
              <w:rPr>
                <w:rFonts w:cs="Times New Roman"/>
                <w:sz w:val="24"/>
                <w:szCs w:val="24"/>
                <w:lang w:val="it-IT"/>
              </w:rPr>
              <w:t>2</w:t>
            </w:r>
            <w:r w:rsidRPr="00324B1A">
              <w:rPr>
                <w:rFonts w:cs="Times New Roman"/>
                <w:sz w:val="24"/>
                <w:szCs w:val="24"/>
              </w:rPr>
              <w:t>- 2023</w:t>
            </w:r>
          </w:p>
          <w:p w:rsidR="00324B1A" w:rsidRPr="00324B1A" w:rsidRDefault="00324B1A">
            <w:pPr>
              <w:spacing w:after="0" w:line="216" w:lineRule="auto"/>
              <w:ind w:right="216"/>
              <w:jc w:val="center"/>
              <w:rPr>
                <w:rFonts w:cs="Times New Roman"/>
                <w:b/>
                <w:sz w:val="24"/>
                <w:szCs w:val="24"/>
                <w:bdr w:val="single" w:sz="4" w:space="0" w:color="auto" w:frame="1"/>
              </w:rPr>
            </w:pPr>
            <w:r w:rsidRPr="00324B1A">
              <w:rPr>
                <w:rFonts w:cs="Times New Roman"/>
                <w:b/>
                <w:sz w:val="24"/>
                <w:szCs w:val="24"/>
                <w:bdr w:val="single" w:sz="4" w:space="0" w:color="auto" w:frame="1"/>
              </w:rPr>
              <w:t>MÃ ĐỀ  001</w:t>
            </w:r>
          </w:p>
        </w:tc>
        <w:tc>
          <w:tcPr>
            <w:tcW w:w="6120" w:type="dxa"/>
            <w:hideMark/>
          </w:tcPr>
          <w:p w:rsidR="00324B1A" w:rsidRPr="00324B1A" w:rsidRDefault="00324B1A">
            <w:pPr>
              <w:spacing w:after="0" w:line="216" w:lineRule="auto"/>
              <w:ind w:right="216"/>
              <w:jc w:val="center"/>
              <w:rPr>
                <w:rFonts w:cs="Times New Roman"/>
                <w:b/>
                <w:sz w:val="24"/>
                <w:szCs w:val="24"/>
                <w:lang w:val="it-IT"/>
              </w:rPr>
            </w:pPr>
            <w:r w:rsidRPr="00324B1A">
              <w:rPr>
                <w:rFonts w:cs="Times New Roman"/>
                <w:b/>
                <w:sz w:val="24"/>
                <w:szCs w:val="24"/>
                <w:lang w:val="it-IT"/>
              </w:rPr>
              <w:t xml:space="preserve">ĐỀ KIỂM TRA </w:t>
            </w:r>
            <w:r w:rsidRPr="00324B1A">
              <w:rPr>
                <w:rFonts w:cs="Times New Roman"/>
                <w:b/>
                <w:sz w:val="24"/>
                <w:szCs w:val="24"/>
                <w:lang w:val="it-IT"/>
              </w:rPr>
              <w:t xml:space="preserve">CUỐI </w:t>
            </w:r>
            <w:r w:rsidRPr="00324B1A">
              <w:rPr>
                <w:rFonts w:cs="Times New Roman"/>
                <w:b/>
                <w:sz w:val="24"/>
                <w:szCs w:val="24"/>
                <w:lang w:val="it-IT"/>
              </w:rPr>
              <w:t xml:space="preserve">KÌ II </w:t>
            </w:r>
          </w:p>
          <w:p w:rsidR="00324B1A" w:rsidRPr="00324B1A" w:rsidRDefault="00324B1A">
            <w:pPr>
              <w:spacing w:after="0" w:line="216" w:lineRule="auto"/>
              <w:ind w:right="216"/>
              <w:jc w:val="center"/>
              <w:rPr>
                <w:rFonts w:cs="Times New Roman"/>
                <w:b/>
                <w:sz w:val="24"/>
                <w:szCs w:val="24"/>
                <w:lang w:val="it-IT"/>
              </w:rPr>
            </w:pPr>
            <w:r w:rsidRPr="00324B1A">
              <w:rPr>
                <w:rFonts w:cs="Times New Roman"/>
                <w:b/>
                <w:sz w:val="24"/>
                <w:szCs w:val="24"/>
                <w:lang w:val="it-IT"/>
              </w:rPr>
              <w:t>MÔN: GIÁO DỤC CÔNG DÂN 9</w:t>
            </w:r>
          </w:p>
          <w:p w:rsidR="00324B1A" w:rsidRPr="00324B1A" w:rsidRDefault="00324B1A">
            <w:pPr>
              <w:spacing w:after="0" w:line="216" w:lineRule="auto"/>
              <w:ind w:right="216"/>
              <w:jc w:val="center"/>
              <w:rPr>
                <w:rFonts w:cs="Times New Roman"/>
                <w:i/>
                <w:sz w:val="24"/>
                <w:szCs w:val="24"/>
                <w:lang w:val="it-IT"/>
              </w:rPr>
            </w:pPr>
            <w:r w:rsidRPr="00324B1A">
              <w:rPr>
                <w:rFonts w:cs="Times New Roman"/>
                <w:i/>
                <w:sz w:val="24"/>
                <w:szCs w:val="24"/>
                <w:lang w:val="it-IT"/>
              </w:rPr>
              <w:t>Năm học 2022 - 2023</w:t>
            </w:r>
          </w:p>
          <w:p w:rsidR="00324B1A" w:rsidRPr="00324B1A" w:rsidRDefault="00324B1A">
            <w:pPr>
              <w:spacing w:after="0" w:line="216" w:lineRule="auto"/>
              <w:ind w:right="216"/>
              <w:jc w:val="center"/>
              <w:rPr>
                <w:rFonts w:cs="Times New Roman"/>
                <w:i/>
                <w:sz w:val="24"/>
                <w:szCs w:val="24"/>
                <w:lang w:val="it-IT"/>
              </w:rPr>
            </w:pPr>
            <w:r w:rsidRPr="00324B1A">
              <w:rPr>
                <w:rFonts w:cs="Times New Roman"/>
                <w:i/>
                <w:sz w:val="24"/>
                <w:szCs w:val="24"/>
                <w:lang w:val="it-IT"/>
              </w:rPr>
              <w:t>Thời gian: 45 phút</w:t>
            </w:r>
          </w:p>
        </w:tc>
      </w:tr>
    </w:tbl>
    <w:p w:rsidR="00324B1A" w:rsidRPr="00324B1A" w:rsidRDefault="00324B1A" w:rsidP="00324B1A">
      <w:pPr>
        <w:tabs>
          <w:tab w:val="left" w:pos="360"/>
          <w:tab w:val="left" w:pos="990"/>
        </w:tabs>
        <w:spacing w:after="0" w:line="216" w:lineRule="auto"/>
        <w:ind w:right="216"/>
        <w:jc w:val="both"/>
        <w:rPr>
          <w:rFonts w:eastAsia="Batang" w:cs="Times New Roman"/>
          <w:b/>
          <w:sz w:val="24"/>
          <w:szCs w:val="24"/>
          <w:u w:val="single"/>
          <w:lang w:eastAsia="ko-KR"/>
        </w:rPr>
      </w:pPr>
      <w:r w:rsidRPr="00324B1A">
        <w:rPr>
          <w:rFonts w:cs="Times New Roman"/>
          <w:b/>
          <w:sz w:val="24"/>
          <w:szCs w:val="24"/>
          <w:u w:val="single"/>
        </w:rPr>
        <w:t>TRẮC NGHIỆM KHÁCH QUAN (10 điểm)</w:t>
      </w:r>
    </w:p>
    <w:p w:rsidR="009954C0" w:rsidRPr="00324B1A" w:rsidRDefault="00324B1A" w:rsidP="00324B1A">
      <w:pPr>
        <w:tabs>
          <w:tab w:val="left" w:pos="9540"/>
        </w:tabs>
        <w:spacing w:after="0" w:line="216" w:lineRule="auto"/>
        <w:ind w:right="11"/>
        <w:jc w:val="both"/>
        <w:rPr>
          <w:rFonts w:cs="Times New Roman"/>
          <w:sz w:val="24"/>
          <w:szCs w:val="24"/>
        </w:rPr>
      </w:pPr>
      <w:r w:rsidRPr="00324B1A">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9954C0" w:rsidRPr="00324B1A" w:rsidTr="009954C0">
        <w:tc>
          <w:tcPr>
            <w:tcW w:w="1200" w:type="dxa"/>
          </w:tcPr>
          <w:bookmarkEnd w:id="0"/>
          <w:p w:rsidR="009954C0" w:rsidRPr="00324B1A" w:rsidRDefault="009954C0" w:rsidP="009954C0">
            <w:pPr>
              <w:jc w:val="right"/>
              <w:rPr>
                <w:rFonts w:cs="Times New Roman"/>
                <w:b/>
                <w:sz w:val="24"/>
                <w:szCs w:val="24"/>
              </w:rPr>
            </w:pPr>
            <w:r w:rsidRPr="00324B1A">
              <w:rPr>
                <w:rFonts w:cs="Times New Roman"/>
                <w:b/>
                <w:sz w:val="24"/>
                <w:szCs w:val="24"/>
              </w:rPr>
              <w:t xml:space="preserve">Câu 1: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Hành vi nào dưới đây phải chịu trách nhiệm hình sự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Không thực hiện chia tài sản theo di chúc của người mất.</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Cố ý lây truyền HIV cho người khác.</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Lái xe máy đi ngược đường một chiều.</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Xả chất thải chưa qua xử lí ra môi trường.</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Dấu hiệu nào sau đây là một trong những căn cứ để xác định hành vi vi phạm pháp luật.</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do người có thẩm quyền trong cơ quan nhà nước thực hiện.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do người trên 18 tuổi thực hiện.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do người có năng lực trách nhiệm pháp lí thực hiện.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do người trên 16 đến 18 tuổi thực hiện.</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Vi phạm dân sự là những hành vi xâm phạm đến quan hệ nào dưới đây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Quan hệ sở hữu và quan hệ nhân thân.</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Quan hệ tài sản và quan hệ tình cảm.</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Quan hệ tài sản và quan hệ nhân thân.</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Quan hệ sở hữu và quan hệ tài sản.</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4: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pháp lí.</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Thực hiện pháp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Vi phạm pháp luật.</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Tuân thủ pháp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5: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Theo qui định của pháp luật nước ta, chủ thể nào dưới đây có quyền tham gia quản lí nhà nước và xã hội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Chỉ công dân đủ 21 tuổi trở lên.</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Tất cả mọi công dân.</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Chỉ cán bộ, công chức nhà nước.</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Chỉ người đứng đầu nhà nước.</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6: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Anh K đi xe máy phóng nhanh, vượt ẩu nên đâm vào người đi đường làm họ bị chấn thương, tổn hại sức khỏe là 31% và xe máy bị hỏng nặng. Trường hợp này, anh K phải chịu những loại trách nhiệm pháp lí nào dưới đây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Hình sự và hành chính.</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Hình sự và dân sự.</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Dân sự và hành chính.</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Kỉ luật và dân sự.</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7: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Hành vi vi phạm pháp luật nào dưới đây do người có năng lực trách nhiệm pháp lí thực hiện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lastRenderedPageBreak/>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Chị C bị trầm cảm nên đã làm bị thương con đẻ của mình.</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Em M bị tâm thần nên lấy đồ của cửa hàng mà không trả tiền.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Anh A trong lúc say rượu đã đánh bạn bị thương nặng.</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Anh C trong lúc lên cơn động kinh đập vỡ cửa kính của nhà hàng.</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8: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Dấu hiệu nào dưới đây là biểu hiện của hành vi trái pháp luật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Công dân không làm những việc mà pháp luật cấm.</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Công dân làm những việc không được làm theo qui định của pháp luật.</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Công dân làm những việc phải làm theo qui định của pháp luật.</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Công dân làm những việc mà pháp luật cho phép làm.</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9: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Nhà nước ta xác định quyền nào dưới đây là quyền chính trị quan trọng nhất của công dân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Quyền tham gia quản lí nhà nước, quản lí xã hội.</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Quyền bất khả xâm phạm về thân thể.</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Quyền bất khả xâm phạm về chỗ ở.</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Quyền tự do ngôn luận.</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10: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Nghĩa vụ mà các cá nhân hoặc tổ chức phải gánh chịu hậu quả bất lợi từ hành vi vi phạm pháp luật của mình là nội dung khái niệm nào dưới đây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Nghĩa vụ pháp lí.</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Vi phạm pháp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pháp lí.</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Thực hiện pháp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11: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Thực hiện trách nhiệm pháp lý đối với người từ đủ 14 đến dưới 18 tuổi là</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chủ yếu là đưa ra lời khuyên.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có thể bị phạt tù.</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giáo dục, răn đe là chính.</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buộc phải cách li với xã hội và không có điều kiện tái hòa nhập cộng đồng.</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12: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nào sau đây là vi phạm hình sự?</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Vi phạm quy định về an toàn giao thông.</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Sản xuất buôn bán hàng giả có giá trị tương đương hàng thật 32 triệu đồng.</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Bên mua không trả tiền đúng phương thức như thỏa thuận.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Công chức nhà nước thường đi làm trễ giờ.</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lastRenderedPageBreak/>
              <w:t xml:space="preserve">Câu 13: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Trong cuộc họp tổ dân phố, chị Lan yêu cầu ông tổ trưởng dân phố công khai các khoản đã chỉ tiêu về việc làm đường của phố để mọi người được biết. Hành động của chị Lan thể hiện quyền gì của công dân?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Quyền khiếu nại của công dân.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Quyền tố cáo của công dân.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Quyền tham gia bàn bạc và thực hiện của công dân đối với các công việc chung của xã hội.</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Quyền kiểm tra, giám sát của công dân đối với các công việc chung của xã hội.</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14: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Người có hành vi vi phạm hình sự phải chịu trách nhiệm pháp lí nào ?</w:t>
            </w:r>
          </w:p>
        </w:tc>
      </w:tr>
      <w:tr w:rsidR="009954C0" w:rsidRPr="00324B1A" w:rsidTr="009954C0">
        <w:trPr>
          <w:gridAfter w:val="1"/>
          <w:wAfter w:w="20" w:type="dxa"/>
        </w:trPr>
        <w:tc>
          <w:tcPr>
            <w:tcW w:w="1200" w:type="dxa"/>
            <w:vAlign w:val="center"/>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Hành chính.</w:t>
            </w:r>
          </w:p>
        </w:tc>
        <w:tc>
          <w:tcPr>
            <w:tcW w:w="500" w:type="dxa"/>
            <w:vAlign w:val="center"/>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Hình sự.</w:t>
            </w:r>
          </w:p>
        </w:tc>
        <w:tc>
          <w:tcPr>
            <w:tcW w:w="500" w:type="dxa"/>
            <w:gridSpan w:val="2"/>
            <w:vAlign w:val="center"/>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2100" w:type="dxa"/>
            <w:gridSpan w:val="2"/>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Dân sự.</w:t>
            </w:r>
          </w:p>
        </w:tc>
        <w:tc>
          <w:tcPr>
            <w:tcW w:w="500" w:type="dxa"/>
            <w:vAlign w:val="center"/>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Kỉ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15: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 xml:space="preserve">Dấu hiệu nào dưới đây </w:t>
            </w:r>
            <w:r w:rsidRPr="00324B1A">
              <w:rPr>
                <w:rFonts w:cs="Times New Roman"/>
                <w:b/>
                <w:color w:val="000000" w:themeColor="text1"/>
                <w:sz w:val="24"/>
                <w:szCs w:val="24"/>
                <w:lang w:val="fr-FR"/>
              </w:rPr>
              <w:t>không</w:t>
            </w:r>
            <w:r w:rsidRPr="00324B1A">
              <w:rPr>
                <w:rFonts w:cs="Times New Roman"/>
                <w:color w:val="000000" w:themeColor="text1"/>
                <w:sz w:val="24"/>
                <w:szCs w:val="24"/>
                <w:lang w:val="fr-FR"/>
              </w:rPr>
              <w:t xml:space="preserve"> phải là biểu hiện của hành vi trái pháp luật của công dân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Làm những việc được pháp luật cho phép làm.</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Không làm những việc phải làm theo qui định của pháp luật.</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Làm những việc không được làm theo qui định pháp luật.</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Làm những việc xâm phạm đến các quan hệ xã hội.</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16: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Dấu hiệu nào dưới đây là một trong những căn cứ để xác định hành vi vi phạm pháp luật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xâm phạm tới các chuẩn mực xã hội.</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xâm phạm tới các phong tục, tập quán.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xâm phạm tới các qui định của xã hội.</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xâm phạm tới các quan hệ xã hội được pháp luật bảo vệ.</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17: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Trường hợp nào sau đây là vi phạm hình sự?</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Công chức vi phạm thời giờ làm việc.</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Đi xe vào đường một chiều.</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Đi xe máy chở 3 người.</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Đánh người gây thương tích 12%.</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18: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Nhà nước đưa ra trách nhiệm pháp lý là nhằm mục đích gì?</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Buộc chủ thể vi phạm chấm dứt hành vi trái pháp luật, phải chịu những thiệt hại nhất định; giáo dục răn đe những người khác.</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Lập lại trật tự xã hội.</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Phạt tiền người vi phạm.</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Ngăn chặn người vi phạm có thể có vi phạm mới.</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19: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Cơ quan nào dưới đây có quyền tuyên phạt đối với người phạm tội?</w:t>
            </w:r>
          </w:p>
        </w:tc>
      </w:tr>
      <w:tr w:rsidR="009954C0" w:rsidRPr="00324B1A" w:rsidTr="009954C0">
        <w:trPr>
          <w:gridAfter w:val="1"/>
          <w:wAfter w:w="20" w:type="dxa"/>
        </w:trPr>
        <w:tc>
          <w:tcPr>
            <w:tcW w:w="1200" w:type="dxa"/>
            <w:vAlign w:val="center"/>
          </w:tcPr>
          <w:p w:rsidR="009954C0" w:rsidRPr="00324B1A" w:rsidRDefault="009954C0" w:rsidP="009954C0">
            <w:pPr>
              <w:jc w:val="right"/>
              <w:rPr>
                <w:rFonts w:cs="Times New Roman"/>
                <w:b/>
                <w:sz w:val="24"/>
                <w:szCs w:val="24"/>
              </w:rPr>
            </w:pPr>
            <w:r w:rsidRPr="00324B1A">
              <w:rPr>
                <w:rFonts w:cs="Times New Roman"/>
                <w:b/>
                <w:sz w:val="24"/>
                <w:szCs w:val="24"/>
              </w:rPr>
              <w:lastRenderedPageBreak/>
              <w:t>A.</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Quốc hội.</w:t>
            </w:r>
          </w:p>
        </w:tc>
        <w:tc>
          <w:tcPr>
            <w:tcW w:w="500" w:type="dxa"/>
            <w:vAlign w:val="center"/>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Viện kiểm sát.</w:t>
            </w:r>
          </w:p>
        </w:tc>
        <w:tc>
          <w:tcPr>
            <w:tcW w:w="500" w:type="dxa"/>
            <w:gridSpan w:val="2"/>
            <w:vAlign w:val="center"/>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2100" w:type="dxa"/>
            <w:gridSpan w:val="2"/>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Tòa án.</w:t>
            </w:r>
          </w:p>
        </w:tc>
        <w:tc>
          <w:tcPr>
            <w:tcW w:w="500" w:type="dxa"/>
            <w:vAlign w:val="center"/>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Chính phủ.</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20: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Theo qui định của pháp luật, quyền tham gia quản lí nhà nước, quản lí xã hội vừa là quyền vừa là</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khát vọng cao đẹp của mọi công dân.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của công dân với nhà nước và xã hội.</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nhiệm vụ bắt buộc đối với mọi công dân.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nhu cầu của công dân đối với nhà nước và xã hội.</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21: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Bà V vay tiền của anh H, dây dưa mãi không chịu trả là hành vi vi phạm pháp luật</w:t>
            </w:r>
          </w:p>
        </w:tc>
      </w:tr>
      <w:tr w:rsidR="009954C0" w:rsidRPr="00324B1A" w:rsidTr="009954C0">
        <w:trPr>
          <w:gridAfter w:val="1"/>
          <w:wAfter w:w="20" w:type="dxa"/>
        </w:trPr>
        <w:tc>
          <w:tcPr>
            <w:tcW w:w="1200" w:type="dxa"/>
            <w:vAlign w:val="center"/>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kỉ luật.</w:t>
            </w:r>
          </w:p>
        </w:tc>
        <w:tc>
          <w:tcPr>
            <w:tcW w:w="500" w:type="dxa"/>
            <w:vAlign w:val="center"/>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hành chính.</w:t>
            </w:r>
          </w:p>
        </w:tc>
        <w:tc>
          <w:tcPr>
            <w:tcW w:w="500" w:type="dxa"/>
            <w:gridSpan w:val="2"/>
            <w:vAlign w:val="center"/>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2100" w:type="dxa"/>
            <w:gridSpan w:val="2"/>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hình sự.</w:t>
            </w:r>
          </w:p>
        </w:tc>
        <w:tc>
          <w:tcPr>
            <w:tcW w:w="500" w:type="dxa"/>
            <w:vAlign w:val="center"/>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dân sự.</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22: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Mức hình phạt cao nhất khi công dân trốn tránh nghĩa vụ quân sự là gì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Phạt tiền.</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Kỉ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Truy cứu trách nhiệm hình sự.</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Cảnh cáo.</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23: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Bảo vệ tổ quốc là nghĩa vụ thiêng liêng và quyền cao quí của</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mọi công dân.</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riêng lực lượng vũ trang.</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một số thanh niên.</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riêng cơ quan nhà nước.</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24: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Trường học X bị mất một chiếc ti vi ở phòng họp do bảo vệ của trường quên không khóa cổng. Bảo vệ của trường phải chịu trách nhiệm pháp lí nào dưới đây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hình sự.</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dân sự.</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hành chính.</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kỉ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25: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Người từ đủ 14 tuổi đến dưới 16 tuổi phải chịu trách nhiệm hình sự về</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tội phạm nghiêm trọng do vô ý.</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mọi tội phạm.</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tội phạm đặc biệt nghiêm trọng.</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tội phạm do lỗi cố ý.</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26: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Nam cho rằng “thời bình chỉ cần cố gắng làm ăn phát triển kinh tế là đủ còn việc thực hiện nghĩa vụ quân sự tham gia thì tốt, không tham gia thì cũng chẳng ảnh hưởng gì đến an ninh tổ quốc”. Em thấy ý kiến của Nam như thế nào?</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Ý kiến của Nam là sai vì thực hiện nghĩa vụ quân sự là nhiệm vụ thiêng liêng của thanh niên Việt nam được ghi nhận trong Hiến Pháp và pháp luật.</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Ý kiến của Nam có lí vì phát triển kinh tế góp phần làm đất nước giàu mạnh cũng là góp phần bảo vệ an ninh tổ quốc.</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Ý kiến của Nam thể hiện được suy nghĩ của thanh niên hiện nay.</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 xml:space="preserve">Ý kiến của Nam là đúng vì thời bình cần tập trung phát triển kinh tế góp phần xây dựng quê hương </w:t>
            </w:r>
            <w:r w:rsidRPr="00324B1A">
              <w:rPr>
                <w:rFonts w:cs="Times New Roman"/>
                <w:color w:val="000000" w:themeColor="text1"/>
                <w:sz w:val="24"/>
                <w:szCs w:val="24"/>
              </w:rPr>
              <w:lastRenderedPageBreak/>
              <w:t>đất nước.</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lastRenderedPageBreak/>
              <w:t xml:space="preserve">Câu 27: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Hành vi nào dưới đây vừa vi phạm đạo đức, vừa vi phạm pháp luật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Quay cóp bài trong giờ kiểm tra.</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Không nhường nhịn em nhỏ.</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Nói dối bố mẹ.</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Không chăm sóc, nuôi dưỡng cha mẹ già yếu.</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28: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Công dân gián tiếp tham gia quản lí Nhà nước, quản lí xã hội thông qua quyền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bầu cử đại biểu Quốc hội.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đóng góp ý kiến với Quốc hội trong những lần đại biểu Quốc hội tiếp xúc cử tri.</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ứng cử đại biểu Hội đồng nhân dân.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được biểu quyết khi Nhà nước trưng cầu ý dân.</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29: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Hình thức khiển trách, cảnh cáo, chuyển công tác khi xâm phạm các quan hệ công vụ nhà nước do pháp luật hành chính bảo vệ được áp dụng với người có hành vi nào dưới đây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Vi phạm dân sự.</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Vi phạm hành chính.</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Vi phạm hình sự.</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Vi phạm kỉ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30: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Tội phạm là người có hành vi vi phạm</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pháp luật hành chính.</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pháp luật hình sự.</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pháp luật dân sự.</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pháp luật kỉ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31: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Ông T tình cờ phát hiện ông H là trưởng thôn đã cùng với chủ thầu xây dựng bớt xén nguyên vật liệu trong quá trình đổ đường bê tông của thôn. Ông T nên chọn cách nào dưới đây để thực hiện đúng quyền tham gia quản lý nhà nước, quản lý xã hội?</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Im lặng coi như không biết gì.</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Tố cáo với cơ quan nhà nước có thẩm quyền.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Đe dọa, đòi ông H phải chia phần.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Thẳng thắn phê bình ông H rút kinh nghiệm.</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32: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 xml:space="preserve">Dấu hiệu nào dưới đây </w:t>
            </w:r>
            <w:r w:rsidRPr="00324B1A">
              <w:rPr>
                <w:rFonts w:cs="Times New Roman"/>
                <w:b/>
                <w:color w:val="000000" w:themeColor="text1"/>
                <w:sz w:val="24"/>
                <w:szCs w:val="24"/>
                <w:lang w:val="fr-FR"/>
              </w:rPr>
              <w:t>không</w:t>
            </w:r>
            <w:r w:rsidRPr="00324B1A">
              <w:rPr>
                <w:rFonts w:cs="Times New Roman"/>
                <w:color w:val="000000" w:themeColor="text1"/>
                <w:sz w:val="24"/>
                <w:szCs w:val="24"/>
                <w:lang w:val="fr-FR"/>
              </w:rPr>
              <w:t xml:space="preserve"> phải là căn cứ để xác định một hành vi vi phạm pháp luật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do người có thẩm quyền trong cơ quan nhà nước thực hiện.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xâm phạm tới các quan hệ xã hội được pháp luật bảo vệ.</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do người có năng lực trách nhiệm pháp lí thực hiện.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lastRenderedPageBreak/>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Hành vi chứa đựng lỗi của chủ thể thực hiện.</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33: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Câu tục ngữ « Thương người như thể thương thân » nói về điều gì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Sống có đạo đức.</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Sống có kỉ luật.</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Sống có ý thức.</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Sống có trách nhiệm.</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34: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Người có hành vi xâm phạm tới các quan hệ tài sản và quan hệ nhân thân phải chịu trách nhiệm nào dưới đây ?</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kỉ luật.</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hành chính.</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hình sự.</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Trách nhiệm dân sự.</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35: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 xml:space="preserve">Hành vi, việc làm nào dưới đây của công dân </w:t>
            </w:r>
            <w:r w:rsidRPr="00324B1A">
              <w:rPr>
                <w:rFonts w:cs="Times New Roman"/>
                <w:b/>
                <w:color w:val="000000" w:themeColor="text1"/>
                <w:sz w:val="24"/>
                <w:szCs w:val="24"/>
                <w:lang w:val="fr-FR"/>
              </w:rPr>
              <w:t>không</w:t>
            </w:r>
            <w:r w:rsidRPr="00324B1A">
              <w:rPr>
                <w:rFonts w:cs="Times New Roman"/>
                <w:color w:val="000000" w:themeColor="text1"/>
                <w:sz w:val="24"/>
                <w:szCs w:val="24"/>
                <w:lang w:val="fr-FR"/>
              </w:rPr>
              <w:t xml:space="preserve"> có lợi cho sự nghiệp bảo vệ tổ quốc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Tự ý chụp ảnh các khu quân sự và đưa lên mạng xã hội.</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Vận động bạn bè, người thân thực hiện nghĩa vụ quân sự.</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Thăm hỏi, giúp đỡ gia đình thương binh, liệt sĩ.</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Tích cực học tập môn Giáo dục quốc phòng.</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36: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Bà N nhận nuôi số trẻ em cơ nhỡ sau đó bắt các em đi bán vé số, đánh giày, ăn xin. Tối đến, các em phải nộp đủ số tiền theo qui định. Nếu em nào không nộp đủ sẽ bị phạt và bỏ đói. Em có nhận xét gì về hành vi của bà N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Chỉ vi phạm đạo đức.</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Chỉ vi phạm pháp luật.</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Vừa vi phạm đạo đức, vừa vi phạm pháp luật.</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Không vi phạm pháp luật cũng không vi phạm đạo đức.</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37: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Trường hợp nào dưới đây không coi là vi phạm pháp luật ?</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A.</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Do mâu thuẫn cá nhân, P uống rượu và có ý định đánh G để trả thù.</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Bạn M 16 tuổi, đi xe đạp điện cố ý không đội mũ bảo hiểm.</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C.</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Anh T uống rượu say, đi xe máy và gây tai nạn.</w:t>
            </w:r>
          </w:p>
        </w:tc>
      </w:tr>
      <w:tr w:rsidR="009954C0" w:rsidRPr="00324B1A" w:rsidTr="009954C0">
        <w:tc>
          <w:tcPr>
            <w:tcW w:w="1200" w:type="dxa"/>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Chị N sản xuất và buôn bán thực phẩm giả.</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38: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rPr>
              <w:t>Bạn A 16 tuổi, điều khiển xe mô tô vào đường cấm. Bạn A phải chịu trách nhiệm pháp lí nào dưới đây?</w:t>
            </w:r>
          </w:p>
        </w:tc>
      </w:tr>
      <w:tr w:rsidR="009954C0" w:rsidRPr="00324B1A" w:rsidTr="009954C0">
        <w:trPr>
          <w:gridAfter w:val="1"/>
          <w:wAfter w:w="20" w:type="dxa"/>
        </w:trPr>
        <w:tc>
          <w:tcPr>
            <w:tcW w:w="1200" w:type="dxa"/>
            <w:vAlign w:val="center"/>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Hành chính.</w:t>
            </w:r>
          </w:p>
        </w:tc>
        <w:tc>
          <w:tcPr>
            <w:tcW w:w="500" w:type="dxa"/>
            <w:vAlign w:val="center"/>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B.</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Kỉ luật.</w:t>
            </w:r>
          </w:p>
        </w:tc>
        <w:tc>
          <w:tcPr>
            <w:tcW w:w="500" w:type="dxa"/>
            <w:gridSpan w:val="2"/>
            <w:vAlign w:val="center"/>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2100" w:type="dxa"/>
            <w:gridSpan w:val="2"/>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Dân sự.</w:t>
            </w:r>
          </w:p>
        </w:tc>
        <w:tc>
          <w:tcPr>
            <w:tcW w:w="500" w:type="dxa"/>
            <w:vAlign w:val="center"/>
          </w:tcPr>
          <w:p w:rsidR="009954C0" w:rsidRPr="00324B1A" w:rsidRDefault="009954C0" w:rsidP="009954C0">
            <w:pPr>
              <w:jc w:val="right"/>
              <w:rPr>
                <w:rFonts w:cs="Times New Roman"/>
                <w:b/>
                <w:color w:val="000000" w:themeColor="text1"/>
                <w:sz w:val="24"/>
                <w:szCs w:val="24"/>
              </w:rPr>
            </w:pPr>
            <w:r w:rsidRPr="00324B1A">
              <w:rPr>
                <w:rFonts w:cs="Times New Roman"/>
                <w:b/>
                <w:color w:val="000000" w:themeColor="text1"/>
                <w:sz w:val="24"/>
                <w:szCs w:val="24"/>
              </w:rPr>
              <w:t>D.</w:t>
            </w:r>
          </w:p>
        </w:tc>
        <w:tc>
          <w:tcPr>
            <w:tcW w:w="2100" w:type="dxa"/>
            <w:vAlign w:val="center"/>
          </w:tcPr>
          <w:p w:rsidR="009954C0" w:rsidRPr="00324B1A" w:rsidRDefault="009954C0" w:rsidP="009954C0">
            <w:pPr>
              <w:rPr>
                <w:rFonts w:cs="Times New Roman"/>
                <w:sz w:val="24"/>
                <w:szCs w:val="24"/>
              </w:rPr>
            </w:pPr>
            <w:r w:rsidRPr="00324B1A">
              <w:rPr>
                <w:rFonts w:cs="Times New Roman"/>
                <w:color w:val="000000" w:themeColor="text1"/>
                <w:sz w:val="24"/>
                <w:szCs w:val="24"/>
              </w:rPr>
              <w:t>Hình sự.</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39: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Vi phạm hành chính là những hành vi xâm phạm đến</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kỉ luật lao động.</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kỉ luật của tổ chức.</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lastRenderedPageBreak/>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quan hệ tài sản.</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qui tắc quản lí nhà nước.</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 xml:space="preserve">Câu 40: </w:t>
            </w:r>
          </w:p>
        </w:tc>
        <w:tc>
          <w:tcPr>
            <w:tcW w:w="9920" w:type="dxa"/>
            <w:gridSpan w:val="10"/>
          </w:tcPr>
          <w:p w:rsidR="009954C0" w:rsidRPr="00324B1A" w:rsidRDefault="009954C0" w:rsidP="009954C0">
            <w:pPr>
              <w:rPr>
                <w:rFonts w:cs="Times New Roman"/>
                <w:sz w:val="24"/>
                <w:szCs w:val="24"/>
              </w:rPr>
            </w:pPr>
            <w:r w:rsidRPr="00324B1A">
              <w:rPr>
                <w:rFonts w:cs="Times New Roman"/>
                <w:color w:val="000000" w:themeColor="text1"/>
                <w:sz w:val="24"/>
                <w:szCs w:val="24"/>
                <w:lang w:val="fr-FR"/>
              </w:rPr>
              <w:t>Người phải chịu trách nhiệm hành chính do mọi vi phạm hành chính mà mình gây ra theo qui định của pháp luật có độ tuổi là</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A.</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từ đủ 14 tuổi trở lên.</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B.</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từ 18 tuổi trở lên.</w:t>
            </w:r>
          </w:p>
        </w:tc>
      </w:tr>
      <w:tr w:rsidR="009954C0" w:rsidRPr="00324B1A" w:rsidTr="009954C0">
        <w:tc>
          <w:tcPr>
            <w:tcW w:w="1200" w:type="dxa"/>
          </w:tcPr>
          <w:p w:rsidR="009954C0" w:rsidRPr="00324B1A" w:rsidRDefault="009954C0" w:rsidP="009954C0">
            <w:pPr>
              <w:jc w:val="right"/>
              <w:rPr>
                <w:rFonts w:cs="Times New Roman"/>
                <w:b/>
                <w:sz w:val="24"/>
                <w:szCs w:val="24"/>
              </w:rPr>
            </w:pPr>
            <w:r w:rsidRPr="00324B1A">
              <w:rPr>
                <w:rFonts w:cs="Times New Roman"/>
                <w:b/>
                <w:sz w:val="24"/>
                <w:szCs w:val="24"/>
              </w:rPr>
              <w:t>C.</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từ đủ 18 tuổi trở lên.</w:t>
            </w:r>
          </w:p>
        </w:tc>
        <w:tc>
          <w:tcPr>
            <w:tcW w:w="500" w:type="dxa"/>
            <w:gridSpan w:val="2"/>
          </w:tcPr>
          <w:p w:rsidR="009954C0" w:rsidRPr="00324B1A" w:rsidRDefault="009954C0" w:rsidP="009954C0">
            <w:pPr>
              <w:jc w:val="right"/>
              <w:rPr>
                <w:rFonts w:cs="Times New Roman"/>
                <w:b/>
                <w:sz w:val="24"/>
                <w:szCs w:val="24"/>
              </w:rPr>
            </w:pPr>
            <w:r w:rsidRPr="00324B1A">
              <w:rPr>
                <w:rFonts w:cs="Times New Roman"/>
                <w:b/>
                <w:sz w:val="24"/>
                <w:szCs w:val="24"/>
              </w:rPr>
              <w:t>D.</w:t>
            </w:r>
          </w:p>
        </w:tc>
        <w:tc>
          <w:tcPr>
            <w:tcW w:w="4710" w:type="dxa"/>
            <w:gridSpan w:val="4"/>
          </w:tcPr>
          <w:p w:rsidR="009954C0" w:rsidRPr="00324B1A" w:rsidRDefault="009954C0" w:rsidP="009954C0">
            <w:pPr>
              <w:rPr>
                <w:rFonts w:cs="Times New Roman"/>
                <w:sz w:val="24"/>
                <w:szCs w:val="24"/>
              </w:rPr>
            </w:pPr>
            <w:r w:rsidRPr="00324B1A">
              <w:rPr>
                <w:rFonts w:cs="Times New Roman"/>
                <w:color w:val="000000" w:themeColor="text1"/>
                <w:sz w:val="24"/>
                <w:szCs w:val="24"/>
              </w:rPr>
              <w:t>từ đủ 16 tuổi trở lên.</w:t>
            </w:r>
          </w:p>
        </w:tc>
      </w:tr>
    </w:tbl>
    <w:p w:rsidR="00E83901" w:rsidRPr="00324B1A" w:rsidRDefault="009954C0" w:rsidP="009954C0">
      <w:pPr>
        <w:jc w:val="center"/>
        <w:rPr>
          <w:rFonts w:cs="Times New Roman"/>
          <w:sz w:val="24"/>
          <w:szCs w:val="24"/>
        </w:rPr>
      </w:pPr>
      <w:r w:rsidRPr="00324B1A">
        <w:rPr>
          <w:rFonts w:cs="Times New Roman"/>
          <w:sz w:val="24"/>
          <w:szCs w:val="24"/>
        </w:rPr>
        <w:t>--- Hết ---</w:t>
      </w:r>
    </w:p>
    <w:sectPr w:rsidR="00E83901" w:rsidRPr="00324B1A" w:rsidSect="009954C0">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CC2" w:rsidRDefault="00866CC2" w:rsidP="009954C0">
      <w:pPr>
        <w:spacing w:after="0" w:line="240" w:lineRule="auto"/>
      </w:pPr>
      <w:r>
        <w:separator/>
      </w:r>
    </w:p>
  </w:endnote>
  <w:endnote w:type="continuationSeparator" w:id="0">
    <w:p w:rsidR="00866CC2" w:rsidRDefault="00866CC2" w:rsidP="00995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C0" w:rsidRDefault="009954C0" w:rsidP="009954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954C0" w:rsidRDefault="009954C0" w:rsidP="009954C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C0" w:rsidRDefault="009954C0" w:rsidP="009954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24B1A">
      <w:rPr>
        <w:rStyle w:val="PageNumber"/>
        <w:noProof/>
      </w:rPr>
      <w:t>1</w:t>
    </w:r>
    <w:r>
      <w:rPr>
        <w:rStyle w:val="PageNumber"/>
      </w:rPr>
      <w:fldChar w:fldCharType="end"/>
    </w:r>
  </w:p>
  <w:p w:rsidR="009954C0" w:rsidRDefault="009954C0" w:rsidP="009954C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C0" w:rsidRDefault="009954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CC2" w:rsidRDefault="00866CC2" w:rsidP="009954C0">
      <w:pPr>
        <w:spacing w:after="0" w:line="240" w:lineRule="auto"/>
      </w:pPr>
      <w:r>
        <w:separator/>
      </w:r>
    </w:p>
  </w:footnote>
  <w:footnote w:type="continuationSeparator" w:id="0">
    <w:p w:rsidR="00866CC2" w:rsidRDefault="00866CC2" w:rsidP="009954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C0" w:rsidRDefault="009954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C0" w:rsidRDefault="009954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C0" w:rsidRDefault="009954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4C0"/>
    <w:rsid w:val="00324B1A"/>
    <w:rsid w:val="003C66F3"/>
    <w:rsid w:val="00866CC2"/>
    <w:rsid w:val="009954C0"/>
    <w:rsid w:val="00E83901"/>
    <w:rsid w:val="00F01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54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4C0"/>
  </w:style>
  <w:style w:type="paragraph" w:styleId="Footer">
    <w:name w:val="footer"/>
    <w:basedOn w:val="Normal"/>
    <w:link w:val="FooterChar"/>
    <w:uiPriority w:val="99"/>
    <w:unhideWhenUsed/>
    <w:rsid w:val="009954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4C0"/>
  </w:style>
  <w:style w:type="character" w:styleId="PageNumber">
    <w:name w:val="page number"/>
    <w:basedOn w:val="DefaultParagraphFont"/>
    <w:uiPriority w:val="99"/>
    <w:semiHidden/>
    <w:unhideWhenUsed/>
    <w:rsid w:val="009954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54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4C0"/>
  </w:style>
  <w:style w:type="paragraph" w:styleId="Footer">
    <w:name w:val="footer"/>
    <w:basedOn w:val="Normal"/>
    <w:link w:val="FooterChar"/>
    <w:uiPriority w:val="99"/>
    <w:unhideWhenUsed/>
    <w:rsid w:val="009954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4C0"/>
  </w:style>
  <w:style w:type="character" w:styleId="PageNumber">
    <w:name w:val="page number"/>
    <w:basedOn w:val="DefaultParagraphFont"/>
    <w:uiPriority w:val="99"/>
    <w:semiHidden/>
    <w:unhideWhenUsed/>
    <w:rsid w:val="00995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39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2023-04-12T03:42:00Z</dcterms:created>
  <dcterms:modified xsi:type="dcterms:W3CDTF">2023-04-12T11:16:00Z</dcterms:modified>
</cp:coreProperties>
</file>